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4" w:rsidRPr="008C7CF5" w:rsidRDefault="00315EB4" w:rsidP="00315EB4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8C7CF5">
        <w:rPr>
          <w:szCs w:val="24"/>
        </w:rPr>
        <w:t>ORDENANZA XVI - Nº 74</w:t>
      </w:r>
    </w:p>
    <w:p w:rsidR="00315EB4" w:rsidRPr="008C7CF5" w:rsidRDefault="00315EB4" w:rsidP="00315EB4">
      <w:pPr>
        <w:spacing w:line="360" w:lineRule="auto"/>
        <w:jc w:val="center"/>
        <w:rPr>
          <w:szCs w:val="24"/>
        </w:rPr>
      </w:pPr>
      <w:r w:rsidRPr="008C7CF5">
        <w:rPr>
          <w:szCs w:val="24"/>
        </w:rPr>
        <w:t>ANEXO I</w:t>
      </w:r>
    </w:p>
    <w:p w:rsidR="00315EB4" w:rsidRDefault="00315EB4" w:rsidP="00315EB4">
      <w:pPr>
        <w:spacing w:line="360" w:lineRule="auto"/>
        <w:jc w:val="both"/>
        <w:rPr>
          <w:b/>
          <w:szCs w:val="24"/>
        </w:rPr>
      </w:pPr>
    </w:p>
    <w:p w:rsidR="00315EB4" w:rsidRPr="008C7CF5" w:rsidRDefault="00315EB4" w:rsidP="008C7CF5">
      <w:pPr>
        <w:spacing w:line="360" w:lineRule="auto"/>
        <w:jc w:val="center"/>
        <w:rPr>
          <w:szCs w:val="24"/>
        </w:rPr>
      </w:pPr>
      <w:r w:rsidRPr="008C7CF5">
        <w:rPr>
          <w:szCs w:val="24"/>
        </w:rPr>
        <w:t>PROGRAMA DE MOVILIDAD URBANA “INTERSECCIONES MÁS SEGURAS”</w:t>
      </w:r>
    </w:p>
    <w:p w:rsidR="00315EB4" w:rsidRDefault="00315EB4" w:rsidP="008C7CF5">
      <w:pPr>
        <w:spacing w:line="360" w:lineRule="auto"/>
        <w:jc w:val="center"/>
        <w:rPr>
          <w:b/>
          <w:szCs w:val="24"/>
        </w:rPr>
      </w:pPr>
    </w:p>
    <w:p w:rsidR="00315EB4" w:rsidRDefault="008C7CF5" w:rsidP="00315EB4">
      <w:pPr>
        <w:spacing w:line="360" w:lineRule="auto"/>
        <w:jc w:val="both"/>
        <w:rPr>
          <w:szCs w:val="24"/>
        </w:rPr>
      </w:pPr>
      <w:r>
        <w:rPr>
          <w:szCs w:val="24"/>
        </w:rPr>
        <w:t>A los efectos de la o</w:t>
      </w:r>
      <w:r w:rsidR="00315EB4">
        <w:rPr>
          <w:szCs w:val="24"/>
        </w:rPr>
        <w:t>rdenanza se definen:</w:t>
      </w:r>
    </w:p>
    <w:p w:rsidR="00315EB4" w:rsidRDefault="00315EB4" w:rsidP="00315EB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Sistema Vial Primario: </w:t>
      </w:r>
      <w:r>
        <w:rPr>
          <w:szCs w:val="24"/>
        </w:rPr>
        <w:t>Las vías primarias son aquellas que por su suficiente y adecuado trazo, longitud, sección, señalización y equipamiento, posibilitan el tránsito vehicular e</w:t>
      </w:r>
      <w:r w:rsidR="00EA2BBC">
        <w:rPr>
          <w:szCs w:val="24"/>
        </w:rPr>
        <w:t>ntre las distintas zonas de la c</w:t>
      </w:r>
      <w:r>
        <w:rPr>
          <w:szCs w:val="24"/>
        </w:rPr>
        <w:t>iudad. A su vez son las que poseen un flujo vehicular más significativo.</w:t>
      </w:r>
    </w:p>
    <w:p w:rsidR="00315EB4" w:rsidRDefault="00315EB4" w:rsidP="00315EB4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Sistema Vial Secundario: </w:t>
      </w:r>
      <w:r>
        <w:rPr>
          <w:szCs w:val="24"/>
        </w:rPr>
        <w:t>Las vías secundarias son aquellas que conectan las vías primarias con los puntos específicos de origen y destino de los viajes de los habitantes, permitiendo la circulación al interio</w:t>
      </w:r>
      <w:r w:rsidR="00EA2BBC">
        <w:rPr>
          <w:szCs w:val="24"/>
        </w:rPr>
        <w:t>r de las distintas áreas de la c</w:t>
      </w:r>
      <w:r>
        <w:rPr>
          <w:szCs w:val="24"/>
        </w:rPr>
        <w:t xml:space="preserve">iudad. Pueden ser idénticas a las primarias en cuanto a sus características físicas, pero albergan un flujo vehicular menos intenso. 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Espacio Público:</w:t>
      </w:r>
      <w:r>
        <w:rPr>
          <w:szCs w:val="24"/>
        </w:rPr>
        <w:t xml:space="preserve"> Entendido desde una visión integral del mismo, compuesto por espacios de circulación (aceras y calzadas) y de estar (parques, plazas, paseos).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Intersección vial (avenidas):</w:t>
      </w:r>
      <w:r>
        <w:rPr>
          <w:szCs w:val="24"/>
        </w:rPr>
        <w:t xml:space="preserve"> Espacio comprendido por la confluencia de dos o más vías de circulación vehicular y peatonal en varias dir</w:t>
      </w:r>
      <w:r w:rsidR="00EA2BBC">
        <w:rPr>
          <w:szCs w:val="24"/>
        </w:rPr>
        <w:t>ecciones. A fin de la presente o</w:t>
      </w:r>
      <w:r>
        <w:rPr>
          <w:szCs w:val="24"/>
        </w:rPr>
        <w:t>rdenanza se establece la intersección de avenidas como el espacio comprendido por el cruce de dos vías (primarias o secundarias) y las cuatro esquinas correspondientes a las manzanas de dicho espacio urbano.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Vehículo particular:</w:t>
      </w:r>
      <w:r>
        <w:rPr>
          <w:szCs w:val="24"/>
        </w:rPr>
        <w:t xml:space="preserve"> Entendido como el medio de movilidad motorizado, de uso individual o de un grupo reducido de personas, comprendido por automóviles, ciclomotores.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Transporte público:</w:t>
      </w:r>
      <w:r>
        <w:rPr>
          <w:szCs w:val="24"/>
        </w:rPr>
        <w:t xml:space="preserve"> Servicio público entendido como el medio de movilidad motorizado, de uso colectivo o individual, ómnibus, taxis y </w:t>
      </w:r>
      <w:proofErr w:type="spellStart"/>
      <w:r>
        <w:rPr>
          <w:szCs w:val="24"/>
        </w:rPr>
        <w:t>remises</w:t>
      </w:r>
      <w:proofErr w:type="spellEnd"/>
      <w:r>
        <w:rPr>
          <w:szCs w:val="24"/>
        </w:rPr>
        <w:t>.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Parada de transporte público:</w:t>
      </w:r>
      <w:r>
        <w:rPr>
          <w:szCs w:val="24"/>
        </w:rPr>
        <w:t xml:space="preserve"> Espacio físico en la vía pública, para el ascenso y descenso de usuarios del transporte público.</w:t>
      </w:r>
    </w:p>
    <w:p w:rsid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Corredor urbano:</w:t>
      </w:r>
      <w:r>
        <w:rPr>
          <w:szCs w:val="24"/>
        </w:rPr>
        <w:t xml:space="preserve"> Entendido p</w:t>
      </w:r>
      <w:r w:rsidR="00EA2BBC">
        <w:rPr>
          <w:szCs w:val="24"/>
        </w:rPr>
        <w:t>or el código urbanístico de la c</w:t>
      </w:r>
      <w:r>
        <w:rPr>
          <w:szCs w:val="24"/>
        </w:rPr>
        <w:t xml:space="preserve">iudad de Posadas, como la porción del </w:t>
      </w:r>
      <w:proofErr w:type="spellStart"/>
      <w:r>
        <w:rPr>
          <w:szCs w:val="24"/>
        </w:rPr>
        <w:t>éjido</w:t>
      </w:r>
      <w:proofErr w:type="spellEnd"/>
      <w:r>
        <w:rPr>
          <w:szCs w:val="24"/>
        </w:rPr>
        <w:t xml:space="preserve"> urbano que configuran un sector del territorio en particular, en este caso son el conjunto de parcelas frentistas sobre ambos lados de una avenida, bulevar o calle particular. Se distinguen de las demás porque fomentan la densificación de áreas y concentran actividades específicas.</w:t>
      </w:r>
    </w:p>
    <w:p w:rsidR="00BE37FD" w:rsidRPr="00315EB4" w:rsidRDefault="00315EB4" w:rsidP="00315EB4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Mobiliario urbano:</w:t>
      </w:r>
      <w:r>
        <w:rPr>
          <w:szCs w:val="24"/>
        </w:rPr>
        <w:t xml:space="preserve"> Se entiende por tal el conjunto de elementos que equipa</w:t>
      </w:r>
      <w:r w:rsidR="00EA2BBC">
        <w:rPr>
          <w:szCs w:val="24"/>
        </w:rPr>
        <w:t>n los espacios públicos de una c</w:t>
      </w:r>
      <w:r>
        <w:rPr>
          <w:szCs w:val="24"/>
        </w:rPr>
        <w:t>iudad, entre los que se encuentran los bancos, cestos de residuos, contenedores de residuos domiciliarios, bolardos, canteros, entre otros.</w:t>
      </w:r>
    </w:p>
    <w:sectPr w:rsidR="00BE37FD" w:rsidRPr="00315EB4" w:rsidSect="008C7CF5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70" w:rsidRDefault="00346970" w:rsidP="005524C4">
      <w:r>
        <w:separator/>
      </w:r>
    </w:p>
  </w:endnote>
  <w:endnote w:type="continuationSeparator" w:id="0">
    <w:p w:rsidR="00346970" w:rsidRDefault="00346970" w:rsidP="005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70" w:rsidRDefault="00346970" w:rsidP="005524C4">
      <w:r>
        <w:separator/>
      </w:r>
    </w:p>
  </w:footnote>
  <w:footnote w:type="continuationSeparator" w:id="0">
    <w:p w:rsidR="00346970" w:rsidRDefault="00346970" w:rsidP="0055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F5" w:rsidRDefault="008C7CF5" w:rsidP="008C7CF5">
    <w:pPr>
      <w:tabs>
        <w:tab w:val="left" w:pos="7088"/>
        <w:tab w:val="left" w:pos="7371"/>
      </w:tabs>
      <w:ind w:right="1327"/>
      <w:jc w:val="right"/>
      <w:rPr>
        <w:b/>
        <w:sz w:val="20"/>
      </w:rPr>
    </w:pPr>
  </w:p>
  <w:p w:rsidR="008C7CF5" w:rsidRDefault="008C7CF5" w:rsidP="008C7CF5">
    <w:pPr>
      <w:rPr>
        <w:b/>
        <w:i/>
        <w:sz w:val="2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13335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3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20"/>
      </w:rPr>
      <w:t xml:space="preserve">             </w:t>
    </w:r>
  </w:p>
  <w:p w:rsidR="008C7CF5" w:rsidRDefault="008C7CF5" w:rsidP="008C7CF5">
    <w:pPr>
      <w:rPr>
        <w:b/>
        <w:i/>
        <w:sz w:val="20"/>
      </w:rPr>
    </w:pPr>
  </w:p>
  <w:p w:rsidR="008C7CF5" w:rsidRDefault="008C7CF5" w:rsidP="008C7CF5">
    <w:pPr>
      <w:rPr>
        <w:rFonts w:ascii="Freestyle Script" w:hAnsi="Freestyle Script"/>
        <w:sz w:val="36"/>
        <w:szCs w:val="36"/>
      </w:rPr>
    </w:pPr>
  </w:p>
  <w:p w:rsidR="008C7CF5" w:rsidRDefault="008C7CF5" w:rsidP="008C7CF5">
    <w:pPr>
      <w:rPr>
        <w:rFonts w:ascii="Freestyle Script" w:hAnsi="Freestyle Script"/>
        <w:sz w:val="36"/>
        <w:szCs w:val="36"/>
      </w:rPr>
    </w:pPr>
  </w:p>
  <w:p w:rsidR="008C7CF5" w:rsidRDefault="008C7CF5" w:rsidP="008C7CF5">
    <w:pPr>
      <w:rPr>
        <w:rFonts w:ascii="Freestyle Script" w:hAnsi="Freestyle Script"/>
        <w:sz w:val="36"/>
        <w:szCs w:val="36"/>
      </w:rPr>
    </w:pPr>
  </w:p>
  <w:p w:rsidR="008C7CF5" w:rsidRDefault="008C7CF5" w:rsidP="008C7CF5">
    <w:pPr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8C7CF5" w:rsidRDefault="008C7CF5" w:rsidP="008C7CF5">
    <w:pPr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8C7CF5" w:rsidRDefault="008C7CF5" w:rsidP="008C7CF5">
    <w:pPr>
      <w:rPr>
        <w:rFonts w:ascii="Freestyle Script" w:hAnsi="Freestyle Script"/>
        <w:sz w:val="20"/>
      </w:rPr>
    </w:pPr>
    <w:r>
      <w:rPr>
        <w:rFonts w:ascii="Freestyle Script" w:hAnsi="Freestyle Script"/>
        <w:sz w:val="20"/>
      </w:rPr>
      <w:t xml:space="preserve">                    =========</w:t>
    </w:r>
    <w:r>
      <w:rPr>
        <w:b/>
        <w:i/>
        <w:sz w:val="20"/>
      </w:rPr>
      <w:t xml:space="preserve">            </w:t>
    </w:r>
  </w:p>
  <w:p w:rsidR="008C7CF5" w:rsidRDefault="008C7C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F" w:rsidRDefault="00315EB4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315EB4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9F798F" w:rsidRDefault="00315EB4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9F798F" w:rsidRDefault="00315EB4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9F798F" w:rsidRDefault="003469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B4"/>
    <w:rsid w:val="002C26F9"/>
    <w:rsid w:val="00315EB4"/>
    <w:rsid w:val="00346970"/>
    <w:rsid w:val="00351529"/>
    <w:rsid w:val="003944ED"/>
    <w:rsid w:val="00404AA2"/>
    <w:rsid w:val="004B7B32"/>
    <w:rsid w:val="005524C4"/>
    <w:rsid w:val="00554E36"/>
    <w:rsid w:val="005C1836"/>
    <w:rsid w:val="00757A34"/>
    <w:rsid w:val="0077312E"/>
    <w:rsid w:val="008C7CF5"/>
    <w:rsid w:val="00A9668E"/>
    <w:rsid w:val="00BE37FD"/>
    <w:rsid w:val="00C4584D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5EB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B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7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CF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5EB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B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7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CF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2019-05-23T13:46:00Z</dcterms:created>
  <dcterms:modified xsi:type="dcterms:W3CDTF">2019-05-23T13:46:00Z</dcterms:modified>
</cp:coreProperties>
</file>